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CC1" w:rsidRPr="00C20CC1" w:rsidRDefault="00C20CC1" w:rsidP="00C20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20CC1">
        <w:rPr>
          <w:rFonts w:ascii="Times New Roman" w:hAnsi="Times New Roman" w:cs="Times New Roman"/>
          <w:sz w:val="24"/>
          <w:szCs w:val="24"/>
        </w:rPr>
        <w:t>Response to Valeria Chavez</w:t>
      </w:r>
    </w:p>
    <w:p w:rsidR="00C20CC1" w:rsidRPr="00C20CC1" w:rsidRDefault="00C20CC1" w:rsidP="00C20C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0CC1">
        <w:rPr>
          <w:rFonts w:ascii="Times New Roman" w:hAnsi="Times New Roman" w:cs="Times New Roman"/>
          <w:sz w:val="24"/>
          <w:szCs w:val="24"/>
        </w:rPr>
        <w:t>Hello Valeria, I agree with you in your discussion. Indeed it is the responsibility of the counselor to have a more profound understanding of ethics to help guide them professionally as well as allow their clients to know that they are in a safe environment. Another value of ethics that would be very critical in the ethical dilemma scenario is autonomous, which calls for independence when making personal choices (Smith, Bell, Bennett &amp; McAlpine, 2018). To uphold such an ethical value, as a counselor, I would allow Martha the right and independence to make her own choice, and I would have to respect the choice, even if it disagrees with my ethical decision.</w:t>
      </w:r>
    </w:p>
    <w:p w:rsidR="00C20CC1" w:rsidRDefault="00C20CC1" w:rsidP="00C20C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CC1" w:rsidRDefault="00C20CC1" w:rsidP="00C20C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CC1" w:rsidRDefault="00C20CC1" w:rsidP="00C20C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CC1" w:rsidRDefault="00C20CC1" w:rsidP="00C20C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CC1" w:rsidRDefault="00C20CC1" w:rsidP="00C20C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CC1" w:rsidRDefault="00C20CC1" w:rsidP="00C20C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CC1" w:rsidRDefault="00C20CC1" w:rsidP="00C20C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CC1" w:rsidRDefault="00C20CC1" w:rsidP="00C20C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CC1" w:rsidRDefault="00C20CC1" w:rsidP="00C20C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CC1" w:rsidRDefault="00C20CC1" w:rsidP="00C20C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CC1" w:rsidRDefault="00C20CC1" w:rsidP="00C20C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CC1" w:rsidRPr="00C20CC1" w:rsidRDefault="00C20CC1" w:rsidP="00C20C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20CC1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D851C1" w:rsidRPr="00C20CC1" w:rsidRDefault="00C20CC1" w:rsidP="00C20CC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20CC1">
        <w:rPr>
          <w:rFonts w:ascii="Times New Roman" w:hAnsi="Times New Roman" w:cs="Times New Roman"/>
          <w:sz w:val="24"/>
          <w:szCs w:val="24"/>
        </w:rPr>
        <w:t>Smith, M., Bell, K., Bennett, D., &amp; McAlpine, A. (2018). Employability in a global context: Evolving policy and practice in employability, work-integrated learning, and career development learning.</w:t>
      </w:r>
    </w:p>
    <w:sectPr w:rsidR="00D851C1" w:rsidRPr="00C20CC1" w:rsidSect="003547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507EC"/>
    <w:rsid w:val="002E6107"/>
    <w:rsid w:val="00354769"/>
    <w:rsid w:val="00611EF2"/>
    <w:rsid w:val="00A507EC"/>
    <w:rsid w:val="00BD04A6"/>
    <w:rsid w:val="00C20CC1"/>
    <w:rsid w:val="00D85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7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7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2020-05-18T04:57:00Z</dcterms:created>
  <dcterms:modified xsi:type="dcterms:W3CDTF">2020-05-18T04:57:00Z</dcterms:modified>
</cp:coreProperties>
</file>